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B5" w:rsidRPr="0019567A" w:rsidRDefault="009024B5">
      <w:p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b/>
          <w:bCs/>
          <w:sz w:val="20"/>
          <w:szCs w:val="20"/>
        </w:rPr>
        <w:t>S.18.01</w:t>
      </w:r>
      <w:r w:rsidR="00970090">
        <w:rPr>
          <w:rFonts w:ascii="Times New Roman" w:hAnsi="Times New Roman" w:cs="Times New Roman"/>
          <w:b/>
          <w:bCs/>
          <w:sz w:val="20"/>
          <w:szCs w:val="20"/>
        </w:rPr>
        <w:t xml:space="preserve">. - </w:t>
      </w:r>
      <w:r w:rsidRPr="0019567A">
        <w:rPr>
          <w:rFonts w:ascii="Times New Roman" w:hAnsi="Times New Roman" w:cs="Times New Roman"/>
          <w:b/>
          <w:bCs/>
          <w:sz w:val="20"/>
          <w:szCs w:val="20"/>
        </w:rPr>
        <w:t>Projection of futu</w:t>
      </w:r>
      <w:bookmarkStart w:id="0" w:name="_GoBack"/>
      <w:bookmarkEnd w:id="0"/>
      <w:r w:rsidRPr="0019567A">
        <w:rPr>
          <w:rFonts w:ascii="Times New Roman" w:hAnsi="Times New Roman" w:cs="Times New Roman"/>
          <w:b/>
          <w:bCs/>
          <w:sz w:val="20"/>
          <w:szCs w:val="20"/>
        </w:rPr>
        <w:t>re cash flows (Best Estimate - Non Life)</w:t>
      </w:r>
      <w:r w:rsidRPr="001956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24B5" w:rsidRPr="0019567A" w:rsidRDefault="009024B5">
      <w:p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General Comment</w:t>
      </w:r>
      <w:r w:rsidR="00E656BE">
        <w:rPr>
          <w:rFonts w:ascii="Times New Roman" w:hAnsi="Times New Roman" w:cs="Times New Roman"/>
          <w:sz w:val="20"/>
          <w:szCs w:val="20"/>
        </w:rPr>
        <w:t>s</w:t>
      </w:r>
      <w:r w:rsidR="00553A64" w:rsidRPr="00670897">
        <w:rPr>
          <w:rFonts w:ascii="Times New Roman" w:hAnsi="Times New Roman" w:cs="Times New Roman"/>
          <w:sz w:val="20"/>
          <w:szCs w:val="20"/>
        </w:rPr>
        <w:t>:</w:t>
      </w:r>
    </w:p>
    <w:p w:rsidR="004E3CF9" w:rsidRDefault="004E3CF9" w:rsidP="004E3CF9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E656BE" w:rsidRPr="0019567A" w:rsidRDefault="00E656BE" w:rsidP="00E656BE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relates to annual submission of information for individual undertakings.</w:t>
      </w:r>
    </w:p>
    <w:p w:rsidR="009024B5" w:rsidRPr="0019567A" w:rsidRDefault="009024B5" w:rsidP="009024B5">
      <w:p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This template applies only to </w:t>
      </w:r>
      <w:r w:rsidR="00553A64" w:rsidRPr="0019567A">
        <w:rPr>
          <w:rFonts w:ascii="Times New Roman" w:hAnsi="Times New Roman" w:cs="Times New Roman"/>
          <w:sz w:val="20"/>
          <w:szCs w:val="20"/>
        </w:rPr>
        <w:t>Best Estimate and the following shall be considered:</w:t>
      </w:r>
    </w:p>
    <w:p w:rsidR="009024B5" w:rsidRPr="0019567A" w:rsidRDefault="009024B5" w:rsidP="0019567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It is required to take into account all the cash flows expressed in different currencies and covert them in the reporting currency;</w:t>
      </w:r>
    </w:p>
    <w:p w:rsidR="00CB2FC4" w:rsidRPr="0019567A" w:rsidRDefault="00CB2FC4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The cash flows shall be reported gross of reinsurance and undiscounted; </w:t>
      </w:r>
    </w:p>
    <w:p w:rsidR="00E12185" w:rsidRPr="0019567A" w:rsidRDefault="00E12185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19567A">
        <w:rPr>
          <w:rFonts w:ascii="Times New Roman" w:hAnsi="Times New Roman" w:cs="Times New Roman"/>
          <w:sz w:val="20"/>
          <w:szCs w:val="20"/>
        </w:rPr>
        <w:t>In case of use of simplification for the calculation of technical provisions, for which the undertaking does not make estimate of the expected future cash-flows arising from the contracts, it is required to make a distinction between short and</w:t>
      </w:r>
      <w:r w:rsidRPr="0019567A">
        <w:rPr>
          <w:rFonts w:ascii="Times New Roman" w:hAnsi="Times New Roman" w:cs="Times New Roman"/>
          <w:sz w:val="20"/>
          <w:szCs w:val="20"/>
          <w:lang w:val="en-US"/>
        </w:rPr>
        <w:t xml:space="preserve"> long tail business. The obligation to report future expected cash-flows will be kept for reporting purpose only in case of a material part of TP (more than 10%) has a long settlement period, while undertakings will be allowed to exclude from template S.18.01 and S.13.01 the cash-flows related to technical provisions with a short settlement period (less than 24 months).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5732"/>
      </w:tblGrid>
      <w:tr w:rsidR="009024B5" w:rsidRPr="00670897" w:rsidTr="00595DD7">
        <w:trPr>
          <w:trHeight w:val="3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 w:rsidP="00463A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Future 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of all the expected payments to policyholders and beneficiaries as defined in Art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, referred to the whole portfolio of non-life obligations falling within the contract boundary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used in the calculation of 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0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B1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 w:rsidP="009E3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 of expenses that will be incurred in servicing insurance and reinsurance obligations as defined in Art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</w:t>
            </w:r>
            <w:proofErr w:type="gram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Directive</w:t>
            </w:r>
            <w:proofErr w:type="gramEnd"/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2009/138/EC and in article </w:t>
            </w:r>
            <w:r w:rsidR="00670897"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r w:rsidR="00E33A14" w:rsidRPr="00E33A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Implementing measures</w:t>
            </w:r>
            <w:r w:rsidR="00670897" w:rsidRPr="00E33A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cash-out flow items such as taxation payments which are charged to policyholders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Best Estimate Premium Provision (Gross)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Premiums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670897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Amounts of all the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2FC4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D1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E1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of all the expected payments to policyholders and beneficiaries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, referred to the whole portfolio of non-life obligations and relating existing contracts,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laims provisions, from year 1 to year 30 and from year 31 and after. </w:t>
            </w:r>
          </w:p>
        </w:tc>
      </w:tr>
      <w:tr w:rsidR="009024B5" w:rsidRPr="00670897" w:rsidTr="0019567A">
        <w:trPr>
          <w:trHeight w:val="67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0/R0010 to 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F1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Best Estimate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Expenses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Amount of expenses that will be incurred in servicing insurance and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reinsurance obligations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 w:rsidDel="00005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cash-flow items such as taxation payments which are charged to policyholders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G1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Future premiums 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Amounts of all the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9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CA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and relating existing contracts, from year 1 to year 30 and from year 31 and after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I1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Total recoverable from reinsurance (after the adjustment)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recoverable from reinsurance</w:t>
            </w:r>
            <w:r w:rsidR="001B69CE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/SPV and </w:t>
            </w:r>
            <w:r w:rsidR="00670897" w:rsidRPr="00670897">
              <w:rPr>
                <w:rFonts w:ascii="Times New Roman" w:hAnsi="Times New Roman" w:cs="Times New Roman"/>
                <w:sz w:val="20"/>
                <w:szCs w:val="20"/>
              </w:rPr>
              <w:t>Finite</w:t>
            </w:r>
            <w:r w:rsidR="001B69CE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reinsurance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, referred to both premiums provisions and claims provisions, adjusted for expected losses due to counterparty default, referred to the whole portfolio of non-life obligations from year 1 to year 30 and from year 31 and after</w:t>
            </w:r>
            <w:r w:rsidR="001B69CE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E4A52" w:rsidRPr="0019567A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195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E958E3"/>
    <w:multiLevelType w:val="hybridMultilevel"/>
    <w:tmpl w:val="837233F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7898"/>
    <w:multiLevelType w:val="hybridMultilevel"/>
    <w:tmpl w:val="5C628D8E"/>
    <w:lvl w:ilvl="0" w:tplc="18249E74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23"/>
    <w:rsid w:val="00005780"/>
    <w:rsid w:val="00015382"/>
    <w:rsid w:val="000D642D"/>
    <w:rsid w:val="0019567A"/>
    <w:rsid w:val="001B69CE"/>
    <w:rsid w:val="001C3AF1"/>
    <w:rsid w:val="00206D5E"/>
    <w:rsid w:val="002C3914"/>
    <w:rsid w:val="002C76CA"/>
    <w:rsid w:val="002F38D1"/>
    <w:rsid w:val="00463A23"/>
    <w:rsid w:val="004A7CA4"/>
    <w:rsid w:val="004E3CF9"/>
    <w:rsid w:val="005446B2"/>
    <w:rsid w:val="00553A64"/>
    <w:rsid w:val="00595DD7"/>
    <w:rsid w:val="005A5FB4"/>
    <w:rsid w:val="005B1BD6"/>
    <w:rsid w:val="00670897"/>
    <w:rsid w:val="006E4A52"/>
    <w:rsid w:val="006F4255"/>
    <w:rsid w:val="007054EC"/>
    <w:rsid w:val="008C0F97"/>
    <w:rsid w:val="008E39CB"/>
    <w:rsid w:val="009024B5"/>
    <w:rsid w:val="00922B9F"/>
    <w:rsid w:val="00970090"/>
    <w:rsid w:val="009D776A"/>
    <w:rsid w:val="009E316D"/>
    <w:rsid w:val="00A36D30"/>
    <w:rsid w:val="00C5532F"/>
    <w:rsid w:val="00CB2FC4"/>
    <w:rsid w:val="00D32AD4"/>
    <w:rsid w:val="00DE6119"/>
    <w:rsid w:val="00E12185"/>
    <w:rsid w:val="00E33A14"/>
    <w:rsid w:val="00E656BE"/>
    <w:rsid w:val="00F07308"/>
    <w:rsid w:val="00F76AD8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6-A58F-44DA-8AD5-2A25505D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Bank of England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5</cp:revision>
  <dcterms:created xsi:type="dcterms:W3CDTF">2014-10-27T22:48:00Z</dcterms:created>
  <dcterms:modified xsi:type="dcterms:W3CDTF">2014-11-17T11:49:00Z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935293655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PreviousAdHocReviewCycleID">
    <vt:i4>1609466313</vt:i4>
  </property>
  <property fmtid="{D5CDD505-2E9C-101B-9397-08002B2CF9AE}" pid="8" name="_ReviewingToolsShownOnce">
    <vt:lpwstr/>
  </property>
</Properties>
</file>